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повторного рассмотрения дела решением Арбитражного суда города Москвы от 08.07.2019, оставленным без изменения постановлением Девятого арбитражного апелляционного суда от 02.10.2019 и 2 постановлением Арбитражного суда Московского округа от 19.12.2019, в удовлетворении иска департамента отказано. В кассационной жалобе, поданной в Верховный Суд Российской Федерации, департамент,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департаментом и обществом заключен договор, на основании которого последнему в целях реализации проекта «Предоставление патронажных и социально-бытовых услуг организациям и частным лицам и принятие 2-х новых сотрудников» предоставлена субсидия в размере 500 000 рублей. В связи с тем, что в нарушение условий договора общество не обеспечило выполнение в полном объеме комплекса предусмотренных проектом мероприятий, в том числе не достигло социально-экономических показателей реализации проекта и не представило необходимую отчетную документацию, департамент в соответствии с пунктом 4.6 договора направил в адрес общества акт выявленных нарушений с требованием в срок до 08.08.2016 представить отчетные документы, подтверждающие выполнение условий договора. Впоследствии в адрес ответчика направлена претензия с требованием возвратить денежные средства в срок до 29.05.2017. Неисполнение в добровольном порядке требования о возврате денежных средств послужило основанием для обращения департамента с заявлением в арбитражный суд. Отказывая в удовлетворении иска, суды трех инстанций, оценив представленные в материалы дела доказательства применительно к условиям заключенного между сторонами договора, руководствуясь положениями статьи 78 Бюджетного кодекса Российской Федерации, статей 309, 310 Гражданского кодекса Российской Федерации, пришли к выводу об отсутствии оснований для возврата субсидии ввиду исполнения обществом принятых по договору обязательств в полном объеме и недоказанности департаментом нецелевого использования денежных средств. 3 Доводы жалобы, сводящиеся к неверному исчислению срока исковой давности, подлежат отклонению, поскольку спор рассмотрен судами по существу и в удовлетворении требований отказано по причине недоказанности департаментом факта нецелевого использования бюджетных средств. Иные доводы, изложенные в кассационной жалобе, не опровергают выводы судов, были предметом их рассмотрения и с учетом установленных обстоятельств не подтверждают существенного нарушения норм материального и процессуального права, повлиявших на исход дела. При таких обстоятельствах, оснований для передачи кассационной жалобы на рассмотрение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предпринимательства и инновационного развития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