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25.06.2019, оставленным без изменения постановлением Четырнадцатого арбитражного апелляционного суда от 12.09.2019 и постановлением Арбитражного суда Северо-Западного округа от 23.12.2019, в иске отказано. В кассационной жалобе предприниматель просит о пересмотре судебных актов вследствие отсутствия предусмотренных законом или договором оснований удержания денежных средств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Заявленная сумма признана уплаченной в счет выполнения работ по переоборудованию транспортного средства, в доказательство чего судом приняты подписанные сторонами акты от 29.05.2018 № 000103 и от 30.06.2018 № 000153, и вследствие этого – не попадающей под условия, предусмотренные статьёй 1102 Гражданского кодекса Российской Федерации для взыскания ее в качестве неосновательного обогащения. Заложенное в доводах жалобы оспаривание выводов судов, сделанных по результату исследования и оценки обстоятельств дела, не образует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Каманин Игорь Александрович (подробнее) Ответчики: ООО "РЕМ-Сервис" (подробнее) Иные лица: ООО "Консультант"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