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05.06.2019, оставленным без изменения постановлением Одиннадцатого арбитражного апелляционного суда от 29.08.2019 и постановлением Арбитражного суда Поволжского округа от 13.12.2019, заявленные требования удовлетворены. В кассационной жалобе, поданной в Верховный Суд Российской Федерации, казначейство просит отменить судебные акты, ссылаясь на существенное нарушение норм права, и отказать в удовлетворении заявления.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обращения гражданина казначейством проведена выездная внеплановая проверка управления по вопросу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обосновании начальной (максимальной) цены государственных контрактов от 20.05.2015 № 120юр и от 24.09.2015 № 189юр. В ходе проверки установлено неправомерное использование бюджетных средств, выразившееся в оплате завышенной стоимости работ по актам приемки выполненных работ на сумму 500 632 рубля 92 копейки, сложившейся в результате некорректного применения сметных норм и расценок, коэффициентов условий производства работ, понижающих коэффициентов на демонтаж, а также двойного учета стоимости материалов; оплате завышенной стоимости работ по актам приемки выполненных работ на сумму 202 849 рублей 49 копеек, сложившейся в результате включения в смету работ, по которым отсутствует подтверждение технологией производства работ на капитальный ремонт кровли. Данные обстоятельства послужили основанием для выдачи предписания, которым на управление возложена обязанность принять меры по взысканию с подрядчика (ФГУП «СМУ-13 ФСИН России») неправомерно использованных по контрактам бюджетных средств с дальнейшим перечислением в доход федерального бюджета. Считая предписание незаконным, управление обратилось с заявлением в арбитражный суд. Оценив представленные в материалы дела доказательства, суды, руководствуясь положениями статей 265 , 266.1 , 267.1 , 269.2 , 270.2 Бюджетного кодекса Российской Федерации, Положением о Федеральном казначействе, утвержденным постановлением Правительства Российской Федерации от 01.12.2004 № 703,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28.11.2013 № 1092, пришли к выводу об отсутствии у казначейства правовых оснований для выдачи предписания ввиду недоказанности вины заявителя в неправомерном использовании бюджетных средств. Судебные инстанции указали, что перед заключением контрактов сметная документация направлялась управлением в ГАУ «Региональный центр государственной экспертизы и ценообразования в строительстве Пензенской области» для проверки достоверности сметной документации и расчета индекса изменения стоимости строительно-монтажных работ в условиях рынка на капитальный ремонт объекта. При этом для каждого контракта управлением были получены расчеты индексов изменения стоимости для определения начальной максимальной цены контракта с учетом стоимости строительных материалов. В рамках проверки строительно-техническая экспертиза не проводилась, отчет о выполненном строительно-техническом исследовании, положенный контролирующим органом в основу акта проверки, составлен организацией, не имеющей аккредитации на данный вид деятельности, в связи с чем не подтверждает наличие выявленных нарушений. Доводы, изложенные в кассационной жалобе, в том числе о правомерности выводов, изложенных в отчете о выполненном строительно- техническом исследовании, и выполнении данного отчета уполномоченной организацией, повторяют позицию казначейства по спору, являлись предметом рассмотрения судов и получили правовую оценку с учетом установленных по делу обстоятельств. По существу доводы жалобы выражают несогласие с выводами судов по фактическим обстоятельствам спора,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Управление Федеральной службы исполнения наказаний по Пензенской области (подробнее) УФСИН России по Пензенской области (подробнее) Ответчики: Управление Федерального казначейства по Пензенской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