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«Банк ВТБ» (далее – банк) обратилось в суд с заявлением о включении в реестр требований кредиторов должника 766 396 573 рублей 88 копеек задолженности, процентов за пользование кредитом, неустойки на просроченную задолженность и проценты, штрафа, как обеспеченные залогом имущества должника. Определением Арбитражного суда Красноярского края от 17.07.2019, оставленным без изменения постановлениями Третьего арбитражного апелляционного суда от 11.09.2019 и Арбитражного суда Восточно-Сибирского округа от 12.12.2019,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в части включения третью очередь реестра требования банка как обеспеченного залогом имущества должника и принять в данной части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71, 100, 134, 138, 142 Федерального закона от 26.10.2002 № 127-ФЗ «О несостоятельности (банкротстве)», пунктами 3, 4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 и исходили их того, что требование возникло в установленном порядке, заявлено в пределах соответствующего срока и по состоянию на день рассмотрения его обоснованности не погашено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Миронову Дмитрию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