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администрации города Ачинска удовлетворить. Срок подачи кассационной жалобы на решение Арбитражного суда Красноярского края от 16.07.2018 по делу № А33-2833/2018, постановление Третьего арбитражного апелляционного суда от 01.10.2018 и постановление Арбитражного суда Восточно-Сибирского округа от 23.11.2018 по тому же делу восстановить. Судья Верховного Суда Российской Федерации Е.Н. Зарубина Суд: Верховный Суд РФ (подробнее) Истцы: ООО "4Линия" (подробнее) Ответчики: Администрация города Ачинска (подробнее) Иные лица: ООО "ТОРГОВАЯ КОМПАНИЯ "ТОМАВТО" (подробнее) ОСП №2 по Советскому району г Красноярска УФССП по КК (подробнее) УФК ПО КК (подробнее) Судьи дела: Зарубина Е.Н. (судья) Последние документы по делу: Определение от 19 марта 2020 г. по делу № А33-2833/2018 Определение от 18 апреля 2019 г. по делу № А33-2833/2018 Определение от 4 марта 2019 г. по делу № А33-2833/2018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