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03.07.2019 заявленные требования удовлетворены. Постановлением Двенадцатого арбитражного апелляционного суда от 13.09.2019 решение суда первой инстанции отменено, в удовлетворении заявления отказано. Постановлением Арбитражного суда Поволжского округа от 29.11.2019 постановление суда апелляционной инстанции отменено, решение суда оставлено в силе. В кассационной жалобе, поданной в Верховный Суд Российской Федерации, управление, ссылаясь на существенное нарушение норм права, просит отменить постановление суда округа и решение суда первой инстанции,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больницей (заказчик) 12.03.2019 на официальном сайте размещено извещение № 03252000235190000038 о проведении электронного аукциона на право заключить контракт на капитальный ремонт детского поликлинического отделения и документация. Согласно протоколу рассмотрения заявок на участие в открытом электронном аукционе от 29.04.2019 на участие подано пять аукционных заявок, из которых четырем участникам отказано в допуске к участию в аукционе, победителем признано общество. Не согласившись с решением аукционной комиссии заказчика, участник аукциона ООО «Леки Строй» обратился в управление с жалобой на действия аукционной комиссии. По результатам рассмотрения жалоба признана необоснованной, в соответствии с пунктом 2 решения единая комиссия заказчика признана нарушившей часть 4 статьи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системе); выдано предписание об отмене протокола рассмотрения заявок от 29.04.2019 и протокола подведения итогов электронного аукциона от 07.05.2019. Считая свои права нарушенными, общество обратилось в арбитражный суд с настоящим заявлением. Удовлетворяя заявленные требования, суд первой инстанции, руководствуясь статьями 24, 33, 59, 64, 66, 67 Закона о контрактной системе, пришел к выводу о том, что ненормативные акты управления не соответствуют требованиям законодательства и нарушают права и интересы общества. Суд исходил из того, что указанные в заявке общества показатели соответствовали требованиям аукционной документации, в связи с чем, у комиссии заказчика отсутствовали основания для отказа обществу в допуске к участию в аукционе. Суд апелляционной инстанции, отменяя решение суда, согласился с выводом антимонопольного органа о нарушении обществом требования технической части документации об аукционе, поскольку в первой части заявки № 229 общество предложило ленту бутиловую размером рулона 20мм х 30м без указания соответствующей ленты бутиловой размером 50мм х 30м. Отменяя постановление суда апелляционной инстанции и оставляя в силе решение суда первой инстанции, суд округа указал, что заказчик разработал и включил в документацию об аукционе Инструкцию по заполнению заявок, содержащую правила конкретизации показателей, в соответствии с которой знак «/», использованный при перечислении характеристик (их показателей), означает, что участнику закупки необходимо выбрать один из показателей, при указании которых заказчиком использован данный знак (но не в случае, когда товар производится исключительно со всеми характеристиками (их показателями) в совокупности). В рассматриваемом случае, управление не доказало одновременную потребность заказчика в ленте бутиловой размером рулона 20мм х 30м и размером 50мм х 30 м. Выводы судов первой инстанции и округа основаны на представленной заказчиком документации об аукционе. Доводы жалобы являлись предметом рассмотрения судов первой инстанции и округа и им дана надлежащая правовая оценка, не свидетельствуют о существенных нарушениях норм материального и процессуального права, которые повлияли на исход дела, по существу, выражают несогласие с выводами судов по фактическим обстоятельствам настоящего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Астраханской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"ВенКонд" (подробнее) Управление Федеральной антимонопольной службы по Астраханской области (подробнее) Ответчики: Управление федеральной антимонопольной службы Астраханской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