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Медведева С.А. обратилась в суд с заявлением о включении в реестр требований кредиторов должника её требования в размере 91 370 821 рублей 92 копеек. Определением Арбитражного суда Курской области от 18.06.2019, оставленным без изменения постановлениями Девятнадцатого арбитражного апелляционного суда от 20.08.2019 и Арбитражного суда Центрального округа от 18.11.2019,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направить дело на новое рассмотрение в ином составе судей или принять по делу новый судебный акт. Исходя из доводов кассационной жалобы заявитель также не согласна с определением суда первой инстанции и постановлением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от заявителя на неё дополнений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807, 809 Гражданского кодекса Российской Федерации, статьями 71, 100,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об отсутствии оснований для удовлетворения заявления ввиду отсутствия доказательств, подтверждающих предоставление и расходование должником денежных средств в заявленном размере, наличие полномочий заявителя на заключение заёмной сделки и обоснование цели её заключения, способных исключить разумные сомнения в реальности долга.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Медведевой Светлане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