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«Современный инжиниринговый бизнес» (поставщик) обратилось в Арбитражный суд Хабаровского края с иском о взыскании с общества с ограниченной ответственностью «Транснефть-Дальний Восток» (покупателя) 18 738 416 рублей 70 копеек действительной стоимости полученного имущества (металлоконструкций) и процентов за пользование чужими денежными средствами в размере 3 938 653 рублей 33 копеек за период с 17.06.2016 по 27.11.2018, а также о взыскании 2 454 579 рублей 36 копеек стоимости профнастила полимерного и 429 809 рублей 18 копеек процентов за период с 01.11.2016 по 27.11.2018.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«Центр управления проектом «Восточная Сибирь-Тихий океан» (агент). 2 Решением Арбитражного суда Хабаровского края от 18.04.2019 иск удовлетворен в части взыскания 21 192 996 рублей 06 копеек неосновательного обогащения; в удовлетворении иска в остальной части отказано. Постановлением Шестого арбитражного апелляционного суда от 01.08.2019 решение суда первой инстанции оставлено без изменения. Арбитражный суд Дальневосточного округа постановлением от 03.12.2019 указанные судебные акты в части удовлетворения иска оставил без изменения; в остальной части – отменил и в отмененной части направил дело на новое рассмотрение в суд первой инстанции. Общество с ограниченной ответственностью «Транснефть-Дальний Восток»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обстоятельства, установленные по делу № А73-5150/2018, установив, что договор от 02.11.2015 обоюдно исполнялся сторонами, товар и выполненные работы получены и использованы ответчиком в собственных целях при возведении объектов и возврат в натуре невозможен, руководствуясь положениями главы 60 Гражданского кодекса Российской Федерации, Федерального закона от 18.07.2011 № 223-ФЗ «О закупках товаров, работ и услуг отдельными видами юридических лиц», разъяснениями, данными в Обзоре судебной практики применения законодательства Российской Федерации о контрактной системе в сфере закупок товаров, работ, услуг для 3 обеспечения государственных и муниципальных нужд, утвержденном Президиумом Верховного Суда Российской Федерации 28.06.2017, суды пришли к выводу о возникновении на стороне ответчика неосновательного обогащения, подлежащего возврату истцу в виде действительной стоимости приобретенного имущества. Отменяя принятые по делу судебные акты в части отказа в удовлетворении иска и направляя дело в этой части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Несогласие заявителя жалобы с выводами судов,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«Транснефть- Дальний 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