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 01/КП от 23.05.2016 купли-продажи здания по адресу: &lt;...&gt;, КН 77:01:0002004:1057, и земельного участка, расположенного по адресу: &lt;...&gt;, КН 77:01:0002004:127, заключенного между должником и ФИО2, применении последствий недействительности сделки. Определением Арбитражного суда города Москвы от 06.02.2019 заявление удовлетворено. Постановлением Девятого арбитражного апелляционного суда от 06.09.2019, оставленным без изменения постановлением Арбитражного суда Московского округа от 18.11.2019,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в том числе результатах повторно проведённой судебной экспертизы, руководствуясь статьёй 10 Гражданского кодекса Российской Федерации, пунктами 1 и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отсутствия совокупности условий для признания недействительной сделки, совершённой по избежание роста значительной по величине просроченной задолженности за счёт начисления пеней и последующего обращения взыскания на предмет залога, ввиду недоказанности заключения последней на нерыночных условиях, при неравноценном встречном исполнении и с целью причинения вреда имущественным правам кредиторов.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«Культурно-исторический и деловой центр «Бурмистерская палата»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"Русский строительный банк" (подробнее) АО Русстройбанк в лице к/у ГК АСВ (подробнее) ДГИ (подробнее) ДГИ г. Москвы (подробнее) ИФНС №9 (подробнее) ИФНС №9 по г. Москве (подробнее) ООО "МЕДИА СЕРВИС АБВ" (подробнее) Ответчики: ЗАО "КУЛЬТУРНО-ИСТОРИЧЕСКИЙ И ДЕЛОВОЙ ЦЕНТР "БУРМИСТЕРСКАЯ ПАЛАТА" (подробнее) Иные лица: Джей энд Ти Банк (подробнее) НП "Союз менеджеров и антикризисных управляющих" (подробнее) ООО "Столичный Центр Аудита и Оценки"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