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обратилось в Арбитражный суд города Москвы с иском к открытому акционерному обществу «Красноярский завод цветных металлов имени В.Н. Гулидова» об обязании исполнить принятые по государственному контракту от 26.04.2018 № 97 на оказание услуг по переработке и аффинажу платины обязательства по доставке аффинированного драгоценного металла (химически чистой платины в объеме не менее 8 264,5 гр) по адресу: г. Миасс, Челябинская область, филиал Гохрана России – «Объект «Урал». Решением Арбитражного суда города Москвы от 26.04.2019 в удовлетворении иска отказано. Постановлением Девятого арбитражного апелляционного суда от 14.08.2019 решение суда первой инстанции оставлено без изменения. Арбитражный суд Московского округа постановлением от 02.12.2019 названные судебные акты оставил без изменения.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Открытым акционерным обществом «Красноярский завод цветных металлов имени В.Н. Гулидова» представлены возражения против удовлетворения жалобы, в которых ответчик указывает на отсутствие оснований для передачи кассационной жалобы для рассмотрения в судебном заседании Судебной коллегии Верховного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представленных возражений,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передал истцу именно то количество драгоценного металла, которое содержалось в переданном исполнителю ломе и определено по результатам обязательного для сторон арбитражного анализа, руководствуясь положениями статей 309 , 310 , 431 , 431 Гражданского кодекса Российской Федерации, суды сделали вывод об отсутствии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ГУ ФЕДЕРАЛЬНОЕ КАЗЕННОЕ УЧРЕЖДЕНИЕ "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(подробнее) ГУ ФКУ " по формированию Государственного фонда драгоценных металлов и драгоценных камней РФ, хранению, отпуску и использованию драгоценных металлов и драгоценных камней Гохран России при Минфин РФ" (подробнее) Ответчики: ОАО "Красноярский завод цветных металлов имени В.Н. Гулидова"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