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корпорация обратилась в суд с заявлением о включении в реестр требований кредиторов должника 640 098 245 рублей 08 копеек, одновременно заявив ходатайство о восстановлении пропущенного срока на подачу указанного заявления. Определением Арбитражного суда города Санкт-Петербурга и Ленинградской области от 09.04.2019, оставленным без изменения постановлениями Тринадцатого арбитражного апелляционного суда от 20.06.2019 и Арбитражного суда Северо-Западного округа от 24.10.2019, ходатайство корпорации о восстановлении пропущенного срока отклонено; требования последней в заявленном размере признаны подлежащими удовлетворению за счёт имущества должника, оставшегося после удовлетворения реестровых требований кредиторов. В кассационной жалобе, поданной в Верховный Суд Российской Федерации, заявитель просит изменить указанные судебные акты и принять по делу новый судебный акт о включении требований в третью очередь реестра требований кредиторов должника.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 руководствовались положениями статей 16, 71, 100, 142 Федерального закона от 26.10.2002 № 127-ФЗ «О несостоятельности (банкротстве)», абзаца второго пункта 3 информационного письма Президиума Высшего Арбитражного Суда Российской Федерации от 26.07.2005 № 93 «О некоторых вопросах, связанных с исчислением отдельных сроков по делам о банкротстве» и исходили из того, что требования корпорации заявлены после закрытия реестра, а доказательств своевременного обращения в арбитражный суд с соответствующим заявлением не представлено.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 Производственная Нано Технологическая Индустриальная Корпорация О.С.М.»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