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Поволжского округа от 24.12.2018 решение Арбитражного суда Самарской области от 28.05.2018 и постановление Одиннадцатого арбитражного апелляционного суда от 17.10.2018 по делу № А55-477/2018 изменено, абзац первый резолютивной части решения суда первой инстанции изложен в следующей редакции: «обязать общество с ограниченной ответственностью «РосПлит» в течение 10 рабочих дней с даты заключения соглашения о конфиденциальности между обществом с ограниченной ответственностью «РосПлит» и ФИО1 предоставить ФИО1 заверенные копии следующих документов:». В остальной части принятые по делу судебные акты оставлены без изменения. ФИО1 03.09.2019 обратился в суд округа с заявлением о пересмотре постановления от 24.12.2018 по вновь открывшимся обстоятельствам, в котором просит его отменить, решение суда первой инстанции оставить в силе. Определением Арбитражного суда Поволжского округа от 27.09.2019, оставленным без изменения определением от 19.11.2019 того же суда, в удовлетворении заявления ФИО1 о пересмотре по вновь открывшимся обстоятельствам постановления от 24.12.2018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 о пересмотре постановления округа по вновь открывшимся обстоятельствам, ссылаясь на несоответствие выводов судов фактическим обстоятельствам дела. В обоснование доводов жалобы заявитель настаивает, что вновь открывшимся обстоятельством безусловно является признание Арбитражным судом Самарской области в рамках дела № А55-38114/2018 ничтожной формы соглашения о неразглашении конфиденциальной информации между ООО «РосПлит» и третьими лицами.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 , является исчерпывающим. Исследовав и оценив по правилам статьи 71 АПК РФ представленные доказательства, руководствуясь статьями 309, 311, 312 названного Кодекса и разъяснениями, изложенными в пунктах 3, 4, 5 постановления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 округа отказал в удовлетворении заявления, исходя из того, что приведенные ФИО1 в обоснование заявления обстоятельства, фактически являются новыми доказательствами; на момент принятия (24.12.2018) судебного акта кассационной инстанцией обстоятельства, на которые ссылается заявитель ,объективно существовали и были ему известны. Доводы кассационной жалобы не свидетельствуют о нарушении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"РосПлит"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