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Севастополя от 16.04.2019, оставленным без изменения постановлением Двадцать первого арбитражного апелляционного суда от 19.07.2019 и постановлением Арбитражного суда Центрального округа от 18.11.2019, в удовлетворении заявленных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новый судебный акт об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и отказывая в удовлетворении заявленных требований, суды руководствовались статьями 181 , 174 , 199 Гражданского кодекса Российской Федерации и исходили, в том числе из пропуска обществом срока исковой давности, о чем было заявлено ответчиком. Доводы кассационной жалобы выводы судов не опровергают,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«Стройиндустрия»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"Стройиндустрия" (подробнее) Ответчики: ГОСУДАРСТВЕННОЕ КАЗЕННОЕ УЧРЕЖДЕНИЕ ГОРОДА СЕВАСТОПОЛЯ "УПРАВЛЕНИЕ ПО ЭКСПЛУАТАЦИИ ОБЪЕКТОВ ГОРОДСКОГО ХОЗЯЙСТВА"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