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Долгополов Вадим Вячеславович (далее – Предприниматель) обратился в Арбитражный суд города Москвы с иском к обществу с ограниченной ответственностью «Промактив» (далее – Общество) о взыскании 1 415 750 рублей задолженности, 1 510 360 рублей неустойки за период с 19.02.2019 по 15.04.2019, неустойки, начисляемой по день фактического исполнения обязательства, также с требованием произвести частичное процессуальное правопреемство по делу № А40-100375/2013 и заменить государственное бюджетное учреждение города Москвы «Жилищник района Войковский» (далее – Учреждение) на Предпринимателя. К участию в деле в качестве третьего лица, не заявляющего самостоятельных требований относительно предмета спора, привлечено Учреждение. Решением Арбитражного суда города Москвы от 12.07.2019, оставленным без изменения постановлением Девятого арбитражного апелляционного суда от 24.09.2019, заявленные требования удовлетворены частично: с Общества в пользу Предпринимателя взыскано 1 415 750 рублей задолженности, 87 153 рубля неустойка, а также неустойка, начисленная в размере 1/130 ставки 2 рефинансирования ЦБ РФ, начиная с 16.04.2019 по день фактического исполнения обязательства. В удовлетворении остальной части требований отказано. Постановлением Арбитражного суда Московского округа от 24.12.2019 решение от 12.07.2019 и постановление от 24.09.2019 отменены в части удовлетворения требований, дело в отмененной части направлено на новое рассмотрение в Арбитражный суд города Москвы. В остальной части названные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удовлетворить требования в полном объеме, ссылаясь на существенное нарушение судами норм материального и процессуального права. В обоснование доводов жалобы заявитель указывает, что у суда первой инстанции не имелось правовых оснований для несовершения процессуального правопреемства. По мнению Предпринимателя, к спорным правоотношениям не подлежал применению пункт 14 статьи 155 Жилищного кодекса Российской Федерации (далее – Жилищный кодекс) в части взыскания неустойки. Размер неустойки должен исчисляться в соответствии с условиями договора. Суды необоснованно не применили положения статей 313, 387 Гражданского кодекса Российской Федерации (далее – Гражданский кодекс)о преемственности кредитора по обязательству.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и Обществом заключено соглашение от 01.09.2005 № 025/28 об общем владении строением и долевом участии в расходах по его содержанию и ремонту. В связи с тем, что Общество обязанности по перечислению соответствующих платежей не исполнило в полном объеме, у него перед Учреждением образовалась задолженность, которая впоследствии была оплачена Предпринимателем. Ссылаясь на указанные обстоятельства,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313, 387 Гражданского кодекса, суды первой и апелляционной инстанции частично удовлетворили требования. 3 Взыскав в полном объеме образовавшуюся задолженность, суды при расчете подлежащей взысканию неустойки руководствовались пунктом 14 статьи 155 Жилищного кодекса, отказав в применении договорной меры ответственности. Также судами было отказано в удовлетворении требования истца о процессуальном правопреемстве по делу № А40-100375/2013, указав, что вопрос о процессуальном правопреемстве должен рассматриваться в рамках дела, в котором спорные правоотношения были установлены.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в части удовлетворения требований, направил дело в названной части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 учетом положений статьи 10 Гражданского кодекса и разъяснений, изложенных в пункте 21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не проверили доводы Общества о том, что Предприниматель своими действиями пытается установить контроль над недвижимым и иным имуществом Общества по причине наличия длительного конфликта с руководителем указанного юридического лица. Суд округа признал ошибочными выводы судов о том, что к ответчику следует применять ответственность, предусмотренную пунктом 14 статьи 155 Жилищного кодекса Российской Федерации, поскольку истец не является наймодателем жилого помещения, управляющей организацией, иным юридическим лицом или индивидуальным предпринимателем, которому в соответствии с Жилищным кодексом Российской Федерации вносится плата за жилое помещение и коммунальные услуги. Судами также не учтено, что несмотря на оплату за ответчика долга в пользу третьего лица, истец не заменил Учреждение в спорных правоотношениях. При новом рассмотрении стороны не лишены права приводить доводы и возражения в соответствии со статьей 41 Арбитражного процессуального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Долгополова Вадима Вячеславовича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