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10.06.2019, оставленным без изменения постановлениями Одиннадцатого арбитражного апелляционного суда от 26.08.2019 и Арбитражного суда Поволжского округа от 06.12.2019, заявленные требования удовлетворены. В кассационной жалобе, поданной в Верховный Суд Российской Федерации, антимонопольный орган просит отменить судебные акты, ссылаясь на существенное нарушение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антимонопольного органа общество, комитет земельных и имущественных отношений и исполнительный комитет признаны нарушившими положения статьи 16 Федерального закона от 26.07.2006 № 135-ФЗ «О защите конкуренции» (далее - Закон о защите конкуренции), что выразилось в достижении соглашения, ограничивающего конкуренцию, которое привело к предоставлению обществу земельного участка с кадастровым номером 16:50:000000:19040 в нарушение требований законодательства. Управлением установлен размер имущественной выгоды, полученной обществом в результате вменяемого нарушения, равный размеру платы за использование спорного земельного участка со сроком 16 месяцев, в связи с чем выдано предписание о перечислении в федеральный бюджет 4 007 769 рублей 92 копеек. Считая ненормативные акты антимонопольного органа незаконными, заявители обратились в арбитражный суд. Удовлетворяя заявленные требования, суды, оценив представленные в материалы дела доказательства, руководствуясь положениями статей 4, 16 Закона о защите конкуренции, пришли к выводу о недоказанности управлением наличия между заявителями антиконкурентного соглашения. При этом судебные инстанции исходили из того, что все действия по обращению в органы муниципалитета, которые были выполнены обществом с целью приобрести спорный земельный участок в аренду, произведены в соответствии с нормами действующего на тот момент земельного законодательства (статьи 30 , 31 , 32 Земельного кодекса Российской Федерации), а также Федерального закона от 27.07.2010 № 210-ФЗ «Об организации предоставления государственных и муниципальных услуг». Кроме того, суды пришли к выводу о нарушении управлением требований статьи 41.1 Закона о защите конкуренции и вынесении оспариваемого решения по истечении трех лет со дня вменяемого нарушения антимонопольного законодательства. Доводы, изложенные в кассационной жалобе, сводятся к повторению позиции антимонопольного органа, являлись предметом рассмотрения судов и получили надлежащую правовую оценку с учетом установленных обстоятельств дела.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2912.6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