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31.05.2019, оставленным без изменения постановлением Семнадцатого арбитражного апелляционного суда от 29.08.2019 и постановлением Арбитражного суда Уральского округа от 23.12.2019,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отказа в предоставлении обществу испрашиваемой субсидии послужило непредставление министерству документов, предусмотренных Порядком предоставления субсидии на поддержку технической и технологической модернизации, инновационного развития сельскохозяйственного производства, утвержденным постановлением Правительства Свердловской области от 09.04.2014 № 298-ПП (далее – Порядок № 298-ПП), а именно: копии сертификата соответствия или декларации о соответствии на сельскохозяйственную технику (оборудование) - изотермический контейнер для перевозки живой рыбы; паспорта на плавающую биозагрузку элемента биофильтра УЗВ «Biremax S800». Признавая решение министерства законным, суды, оценив представленные в материалы дела доказательства, руководствуясь положениями статей 69 , 78 Бюджетного кодекса Российской Федерации, Порядком № 298-ПП, пришли к выводу о наличии у министерства правовых оснований для отказа в предоставлении субсидии ввиду несоответствия представленных заявителем документов требованиям законодательства. Судебные инстанции исходили из того, что наличие сертификата или декларации о соответствии в качестве обязательного условия предоставления субсидии предусмотрено для всех субъектов предпринимательской деятельности. При этом представленное обществом заключение санитарно- эпидемиологической экспертизы не является документом, эквивалентным сертификату соответствия, имеющему более широкий спектр подтверждения соответствия продукции требованиям законодательства (национальным стандартам, отраслевым стандартам, техническим регламентам) и условиям договора. Общество обладало возможностью потребовать от продавца представления заверенной копии сертификата соответствия на контейнеры либо самостоятельно обратиться в соответствующие органы за получением такого сертификата. Также суды указали на непредставление обществом паспорта на оборудование, подтверждающего, что загрузка для биофильтров (биозагрузка) является оборудованием, а не материалом, предназначенным для использования биофильтра и не является объектом субсидирования. Доводы, изложенные в кассационной жалобе, повторяют позицию общества по спору, не опровергают выводы судов, не свидетельствуют о существенных нарушениях норм материального и процессуального права, которые повлияли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Сельскохозяйственное предприятие «РыбПромКомплекс»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СЕЛЬСКОХОЗЯЙСТВЕННОЕ ПРЕДПРИЯТИЕ РЫБПРОМКОМПЛЕКС (подробнее) Ответчики: Министерство агропромышленного комплекса и продовольствия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