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«Проминстрах» обратилось в Арбитражный суд Смоленской области с иском о взыскании с общества с ограниченной ответственностью «Стройинвестпроект» 1 460 974 рублей 94 копеек задолженности по уплате страховых премий, а также процентов за пользование чужими денежными средствами по день фактического исполнения денежного обязательства по уплате долга. Решением Арбитражного суда Смоленской области от 10.06.2019 иск удовлетворен. Постановлением Двадцатого арбитражного апелляционного суда от 27.08.2019 решение суда первой инстанции оставлено без изменения. Арбитражный суд Центрального округа постановлением от 04.12.2019 указанные судебные акты оставил без изменения. Общество с ограниченной ответственностью «Стройинвестпроект»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395 , 927 , 929 , 954 , 958 Гражданского кодекса Российской Федерации,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Федерального закона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Правилами страхования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участия в долевом строительстве, утвержденными приказом генерального директора ООО «Проминстрах» от 29.03.2017 № 23, суды пришли к выводу о ненадлежащем исполнении ответчиком договорных обязательств по уплате страховых премий в полном объеме.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«Стройинвестпроект»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"ПРОМИНСТРАХ" (подробнее) Ответчики: ООО "Стройинвестпроект" (подробнее) Иные лица: Инспекция Федеральной налоговой службы по г. Смоленску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