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Бажанова С.О. обратилась в Верховный Суд Российской Федерации с кассационной жалобой на указанные судебные акты, в которой заявила ходатайство о восстановлении пропущенного срока ее подачи. В силу части 2 статьи 291.2 Арбитражного процессуального кодекса Российской Федерации (далее – Кодекс)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2 судебного акта. В соответствии с частью 2 статьи 117 Кодекса арбитражный суд восстанавливает пропущенный процессуальный срок, если признает причины пропуска уважительным. Рассмотрев ходатайство о восстановлении пропущенного процессуального срока, оценив изложенные в нем доводы, судья считает ходатайство подлежащим удовлетворению. Руководствуясь статьями 117, 184, 185, 291.2 Кодекса,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Бажановой Светланы Олеговны удовлетворить и восстановить пропущенный срок на подачу кассационной жалобы.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