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Верховный Суд Российской Федерации с кассационной жалобой на указанные судебные акты, в которой заявила ходатайство о восстановлении пропущенного срока ее подачи. В силу части 2 статьи 291.2 Арбитражного процессуального кодекса Российской Федерации (далее – Кодекс)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Кодекса арбитражный суд восстанавливает пропущенный процессуальный срок, если признает причины пропуска уважительным. Рассмотрев ходатайство о восстановлении пропущенного процессуального срока, оценив изложенные в нем доводы, судья считает ходатайство подлежащим удовлетворению. Руководствуясь статьями 117, 184, 185, 291.2 Кодекса,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и восстановить пропущенный срок на подачу кассационной жалобы. Судья Верховного СудаРоссийской Федерации Н.С. Чучунова Суд: Верховный Суд РФ (подробнее) Ответчики: Муниципальное казенное общеобразовательное учреждение Средняя общеобразовательная школа №17 р. п. Юрты (подробнее) Судьи дела: Чучунова Н.С. (судья) (подробнее) Последние документы по делу: Определение от 7 мая 2020 г. по делу № А19-5670/2016 Определение от 17 марта 2020 г. по делу № А19-5670/2016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