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16.04.2019, оставленным без изменения постановлением Девятого арбитражного апелляционного суда от 23.09.2019 и постановлением Арбитражного суда Московского округа от 12.12.2019, заявленные требования удовлетворены. В кассационной жалобе, поданной в Верховный Суд Российской Федерации, префектура, ссылаясь на существенное нарушение норм права, просит отменить судебные акты и в удовлетворении требований общества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(подрядчик) и префектурой (заказчик) 10.08.2018 заключен государственный контракт на выполнение работ по капитальному ремонту помещений префектуры. Заказчиком 27.08.2018 принято решение об одностороннем отказе от исполнения государственного контракта и в антимонопольный орган направлено заявление о ненадлежащем исполнении контракта обществом. Решением управления сведения об обществе включены в реестр недобросовестных поставщиков.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1 , 10 Гражданского кодекса Российской Федерации,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Порядком ведения реестра недобросовестных поставщиков (подрядчиков, исполнителей), утвержденным постановлением Правительства Российской Федерации от 25.11.2013 № 1062,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у антимонопольного органа правовых оснований для принятия оспоренного решения. Судебные инстанции исходили из того, что при рассмотрении вопроса о включении сведений в отношении общества в реестр недобросовестных поставщиков управление не устанавливало наличие у заказчика правовых оснований для принятия решения об одностороннем отказе от исполнения контракта, не исследовало факты существенного нарушения обществом условий контракта, свидетельствующие о его недобросовестном поведении, не оценивало поведение общества на предмет допущенного им нарушения исполнения контракта, не выясняло причины такого поведения. Вместе с тем, действия общества в их совокупности и взаимной связи свидетельствуют о направленности на исполнение обязательств по контракту, об отсутствии признаков недобросовестности и, как следствие, оснований для применения мер публично-правовой ответственности в виде включения сведений о нем в реестр недобросовестных поставщиков. Также суды указали на отсутствие со стороны заказчика безусловных и убедительных доказательств наличия оснований для расторжения контракта в одностороннем порядке. Доводы префектуры, приведенные в кассационной жалобе, сводятся к изложению обстоятельств дела, которые были предметом исследования и оценки судов.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спора,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Префектуре Центрального административного округа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"СМУ 2703" (подробнее) Префектура Центрального административного округа города Москвы (подробнее) Ответчики: Управление Федеральной антимонопольной службы по г. Москве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