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«Астром» (далее – Общество) обратилось в Арбитражный суд города Санкт-Петербурга и Ленинградской области с иском к ФИО2 о взыскании 4 768 758 рублей 34 копеек убытков. Вступившим в законную силу решением Арбитражного суда города Санкт- Петербурга и Ленинградской области от 18.04.2017 требования удовлетворены в полном объеме. Апелляционная инстанция постановлением от 27.12.2018 удовлетворила заявление ФИО1 о процессуальном правопреемстве, заменив взыскателя по делу с Общества на ФИО1 ФИО1 28.03.2019 обратился в Арбитражный суд города Санкт- Петербурга и Ленинградской области с заявлением об индексации присужденных сумм на основании статьи 183 Арбитражного процессуального кодекса Российской Федерации (далее – АПК РФ), просил взыскать с ФИО2 сумму индексации за период с 16.08.2017 по 01.04.2019 в размере 590 067 рублей 61 копейка. Определением Арбитражного суда города Санкт-Петербурга и Ленинградской области от 23.05.2019, оставленным без изменения постановлением Тринадцатого арбитражного апелляционного суда от 07.08.2019 и постановлением Арбитражного суда Северо-Западного округа от 20.11.2019, в удовлетворении заявления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последствия неисполнения или просрочки исполнения денежного обязательства, в силу которых на должника возлагается обязанность по уплате кредитору процентов за пользование чужими денежными средствами, применяется к любому денежному обязательству независимо от того, в материальных или процессуальных отношениях оно возникло.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183 названного Кодекса, суды отказали в удовлетворении заявления, поскольку в рассматриваемом случае отсутствует федеральный закон, предусматривающий применительно к правоотношениям сторон индексацию денежных сумм, а заявителем не представлено доказательств наличия между истцом и ответчиком договорных отношений. Иск о взыскании процентов, предусмотренных статьей 395 Гражданского кодекса Российской Федерации, ФИО1 заявлен не был.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"Астром" (подробнее) Иные лица: ГУ Управление по вопросам миграции МВД России по Санкт-Петербургу и Ленинградской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