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Тульской области от 04.06.2019, оставленным без изменения постановлением Двадцатого арбитражного апелляционного суда от 26.08.2019, исковые требования удовлетворены. Постановлением Арбитражного суда Центрального округа от 18.11.2019 решение суда первой инстанции и постановление апелляционной инстанции отменены в части взыскания с общества в пользу компании 4 395 200 руб. 26 коп. стоимости устранения недостатков, дело в указанной части направлено на новое рассмотрение в Арбитражный суд Тульской области, в остальной части судебные акты оставлены без изменения.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в части взыскания с него в пользу компании излишне оплаченных денежных средств по договору.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заключение судебной экспертизы, установив стоимость качественно выполненных обществом работ по договору, учитывая произведенные компанией выплаты, руководствуясь статьями 309, 310, 702, 720, 721, 722, 723, 724, 753, 755 Гражданского кодекса Российской Федерации, разъяснениями, приведенными в информационном письме Высшего Арбитражного Суда Российской Федерации от 24.01.2000 № 51 «Обзор практики разрешения споров по договору строительного подряда», суды первой и апелляционной инстанций пришли к выводу о наличии оснований для уменьшения цены договора и взыскания с ответчика излишне оплаченных истцом денежных средств в заявленном им размере. С указанными выводами впоследствии согласился суд округа. Доводы заявителя, в том числе о несогласии с экспертным заключением рассмотрены судами и оценены.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«МонолитСтрой»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