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07.05.2019, оставленным без изменения постановлением Девятого арбитражного апелляционного суда от 26.07.2019 и постановлением Арбитражного суда Московского округа от 19.11.2019,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15 , 393 , 722 , 723 , 724 , 725 Гражданского кодекса Российской Федерации, пришли к выводу об отсутствии оснований для удовлетворения иска, исходя из недоказанности истцом совокупности условий, необходимых для привлечения ответчика к гражданско-правовой ответственности в виде взыскания убытков, и пропуска им срока исковой давности. Доводы кассационной жалобы не опровергают выводы судов, направлены на переоценку обстоятельств дела, установленных судами, не подтверждают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«ЭлектроГазСтрой»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"Электрогазстрой" (подробнее) Ответчики: ООО "БРИК ХАУС"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