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01.07.2019, оставленным без изменения постановлением Пятнадцатого арбитражного апелляционного суда от 28.08.2019 и постановлением Арбитражного суда Северо-Кавказского округа от 22.11.2019, в удовлетворении иска отказано в связи с истечением срока исковой давности и отсутствием условий для взыскания убытков. В кассационной жалобе ФИО1 просит об отмене судебных актов, ссылаясь на ненадлежащее извещение о дате и времени заседания суда первой инстанции, неправильное исчисление не истекшего до настоящего времени в связи с ведением исполнительного производства, в рамках которого ответчиками совершены незаконные действия, имеющие причинно- следственную связь с заявленными убытками,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Осведомленность заявителя о рассмотрении 24.06.2019 судом первой инстанции дела обсуждена окружным судом с исследованием протокола судебного заседания от 16.05.2019, аудипротокола и размещенных в информационной системе сведений и установлена. Истечение срока исковой давности является самостоятельным основанием для отказа в иске и не требует обсуждения других оснований (пункт 2 статьи 199 Гражданского кодекса Российской Федерации). В связи с заявлениями ответчиков о применении исковой давности суды, руководствуясь статьями 195 , 196 , 199 , 200 Гражданского кодекса Российской Федерации, установили период возникновения осведомленности истца о сделках и действиях, положенных в основу иска о взыскании убытков, падающий на 2009-2011 годы, и приняли его в качестве определения моментов начала течения и истечения срока исковой давности в соответствии с указанными нормами. Довод о ведении исполнительного производства как источнике не истекшего срока исковой давности в отношении заявленных убытков противоречит правилу статьи 200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