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13.06.2019, оставленным без изменения постановлениями Семнадцатого арбитражного апелляционного суда от 13.09.2019 и Арбитражного суда Уральского округа от 17.12.2019, заявленные требования удовлетворены частично, признаны незаконными действия министерства информационного развития по установлению в конкурсной документации требования об учете по подкритерию «Опыт выполнения участником закупки работ сопоставимого характера» только контрактов ранее исполненных участником закупки по цене не менее 100% начальной (максимальной) цены контракта. В удовлетворении остальной части заявленных требований отказано. В кассационной жалобе, поданной в Верховный Суд Российской Федерации, общество просит отменить судебные акты в части отказа в удовлетворении заявленных требований,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обращения общества в арбитражный суд послужило несогласие с действиями конкурсной комиссии министерства информационного развития (заказчик) при проведении открытого конкурса на право заключения договора на выполнение работ по созданию Единой автоматизированной системы оплаты проезда и учета пассажиропотока на маршрутах регулярных перевозок Пермского края. Принимая обжалуемые судебные акты, суды руководствовались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постановлением Правительства Российской Федерации от 28.11.2013 № 1085 «Об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 (далее - Правила № 1085), постановлением Правительства Российской Федерации от 04.02.2015 № 99 «Об установлении дополнительных требований к участникам закупки отдельных видов товаров, работ, услуг к товарам, работам, услугам, которые по причине их технической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 Судебные инстанции, установив в действиях заказчика нарушение подпункта 4 части 1 статьи 50 Закона о контрактной системе, выразившееся в установлении в конкурсной документации требования об учете по подкритерию «Опыт выполнения участником закупки работ сопоставимого характера» только контрактов, ранее исполненных участником закупки по цене не менее 100 процентов начальной (максимальной) цены контракта, что привело к ограничению количества участников открытого конкурса, признали требования в данной части подлежащими удовлетворению. В части применения заказчиком затратного метода расчета начальной цены контракта суды пришли к выводу о том, что расчет начальной (максимальной) цены контракта осуществлен заказчиком в соответствии с требованиями Закона о контрактной системе, правильность которого (расчета) подтверждена, в том числе, экспертной организацией. При этом в кассационной жалобе, поданной обществом в Верховный Суд Российской Федерации, не приведено доводов подтверждающих правомерность использования иного метода определения и обоснования расчета начальной (максимальной) цены контракта. Кроме того, не усмотрев основания для признания незаконными действий заказчика по присвоению в конкурсной документации подкритерию «Опыт участника закупки» в рамках критерия «Квалификация участников конкурса» коэффициента значимости 0,6, суды пришли к выводу о том, что формирование коэффициентов значимости нестоимостных критериев осуществлялось министерством информационного развития с учетом положений действующего законодательства, а также - в рамках предельных величин значимости стоимостных и нестоимостных критериев в случае выполнения работ по созданию, развитию, обеспечению функционирования и обслуживанию государственных (муниципальных) информационных систем, официальных сайтов государственных (муниципальных) органов, учреждений, которые, согласно Правилам № 1085, составляют 30 и 70 процентов соответственно. Суды отметили, что каких-либо иных требований относительно определения коэффициентов значимости в отношении закупки информационных систем в действующем законодательстве не содержится. Таким образом, судебные инстанции, установив отсутствие нарушений в действиях комиссии по рассмотрению и оценке заявок участников, которые привели к неправильному присвоению номеров, нарушению, тем самым прав заявителя, не усмотрели оснований для удовлетворения остальной части заявленных обществом требований. Обстоятельства дела и представленные доказательства были предметом рассмотрения судов. Приведенные доводы не подтверждают существенных нарушений норм материального и процессуального права, повлиявших на исход дела, по сути, сводятся к несогласию заявителя с установленными судами фактическими обстоятельствами дела и направлены на их переоценку, что не может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«ЕТК»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