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«Креативпроект» (далее – Общество) ФИО2 обратился в Арбитражный суд города Санкт-Петербурга и Ленинградской области с иском к ФИО1 о взыскании 8 077 110 рублей убытков. К участию в деле в качестве третьих лиц, не заявляющих самостоятельных требований относительно предмета спора, привлечены Общество, Межрегиональное управление Федеральной службы по финансовому мониторингу по Северо-Западному федеральному округу (Росфинмониторинг), общество с ограниченной ответственностью «Оптстрой» (далее – Предприятие). Решением Арбитражного суда города Санкт-Петербурга и Ленинградской области от 06.02.2019, оставленным без изменения постановлением Тринадцатого арбитражного апелляционного суда от 19.06.2019 и постановлением Арбитражного суда Северо-Западного округа от 15.11.2019, иск удовлетворен.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судами норм материального права. В обоснование доводов жалобы заявитель указывает, что истцом не доказана необходимая совокупность условий для взыскания убытков.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ФИО2 с долей в уставном капитале в размере 80% и ФИО1 – 20%. С 29.09.2015 ФИО1 согласно протоколу общего собрания участников Общества от 29.09.2015 занимает должность генерального директора, на основании чего в период с 07.11.2016 по 09.01.2017 осуществил платежи в адрес Предприятия на сумму 6 928 110 рублей по договору от 07.07.2016 № 071116 поставки строительных материалов и 1 149 000 рублей по счету от 20.06.2017 № 2 за поставку. Ссылаясь на то, что упомянутый договор является мнимой сделкой, направленной на вывод денежных средств со счетов Общества, поскольку реальной передачи строительных материалов в пользу последнего по договору от 07.07.2016 не происходило, ФИО2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возмещения убытков, установив, что контрагент Общества (Предприятие) не имел реальной возможности для исполнения договорных обязательств.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