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Жданова Ольга Владимировна обратилась в суд с заявлением о признании недействительными сделками перечислений в период с 16.03.2013 по 16.03.2016 с расчётного счёта должника на расчётный счёт общества денежных средств на общую сумму 294 045 220 рублей; применении последствий недействительности сделок. Определением Арбитражного суда Челябинской области от 27.03.2019, оставленным без изменения постановлениями Восемнадцатого арбитражного апелляционного суда от 18.07.2019 и Арбитражного суда Уральского округа от 12.11.2019,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167 Гражданского кодекса Российской Федерации, статьями 19, 61.2, 61.6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наличия условий для признания недействительными сделок, заключенных в период подозрительности в отсутствие доказательств реальности поставок должнику товара на сумму перечисленных последним денежных средств и какого-либо иного разумного экономического обоснования, кроме безвозмездного и безвозвратного финансирования должником хозяйственной деятельности заинтересованного лица, с целью причинения вреда кредиторам посредством необоснованного уменьшения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«Ковент»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