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недействительной сделкой зачёта, произведённого государственного корпорацией «Агентство по страхованию вкладов» (далее – корпорация) с должником в отношении причитающихся в его пользу страховых выплат в размере 296 096 рублей 20 копеек; применении последствий недействительности сделки. Определением Арбитражного суда города Москвы от 30.05.2019, оставленным без изменения постановлением Девятого арбитражного апелляционного суда от 30.08.2019, заявление удовлетворено. Постановлением Арбитражного суда Московского округа от 19.12.2019 вышеуказанные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окружной суд, руководствуясь пунктом 5 статьи 2, пунктом 7 статьи 11, пунктом 10 статьи 12 Федерального закона от 23.12.2003 № 177-ФЗ «О страховании вкладов в банках Российской Федерации», исходил из того, что действия корпорации не являлись односторонним зачётом встречных требований сторон, а представляли собой действия по определению размера страховой выплаты, причитающейся должнику, возможность оспаривания которых в рамках главы III.1 Федерального закона от 26.10.2002 № 127-ФЗ «О несостоятельности (банкротстве)» не предусмотрена, указав на возможность обращения заявителя в суд общей юрисдикции с иском об установлении состава и размера соответствующих требований.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