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01.11.2018 Мусальянц А.А.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города Москвы от 22.04.2019 завершена процедура реализации имущества гражданина, Мусальянц А.А.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Постановлением Девятого арбитражного апелляционного суда от 13.08.2019, оставленным без изменения постановлением Арбитражного суда Московского округа от 13.11.2019, вышеуказанное определение отменено в части освобождения должника от дальнейшего исполнения требований кредиторов. Не применены к должнику правила освобождения от дальнейшего исполнения требований кредиторов, в том числе требований кредиторов, не заявленных в процедуре реализации имущества гражданина. В остальной части определение суда первой инстанции от 22.04.2019 оставлено в силе.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принятое по делу определение, апелляционный суд, руководствуясь положениями пунктов 3 и 4 статьи 213.28 Федерального закона от 26.10.2002 № 127-ФЗ «О несостоятельности (банкротстве)», пунктами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счёл невозможным применение правил об освобождении от исполнения обязательств к должнику ввиду его недобросовестного поведения, выразившегося в принятии на себя неисполнимых долговых обязательств и уклонения от их исполнения перед кредиторами.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Мусальянцу Арсену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