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города Москвы от 27.02.2019 ФИО1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города Москвы от 16.08.2019, оставленным без изменения постановлениями Девятого арбитражного апелляционного суда от 04.10.2019 и Арбитражного суда Московского округа от 02.12.2019, процедура реализации имущества должника завершена, в применении правил в отношении ФИО1 об освобождении от обязательств отказано. В кассационной жалобе, поданной в Верховный Суд Российской Федерации, заявитель просит отменить указанные судебные акты в части отказа в применении правил об освобождении должника от обязательств.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правил об освобождении от исполнения обязательств, суды, руководствуясь положениями пунктов 3 и 4 статьи 213.28 Федерального закона от 26.10.2002 № 127-ФЗ «О несостоятельности (банкротстве)», учитывая разъяснения, приведённые в пунктах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исходили из недобросовестного поведения заявителя, выразившегося в принятии на себя заведомо неисполнимых обязательств, предоставлении недостоверных сведений при получении кредита.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