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07.06.2019, оставленным без изменения постановлением Второго арбитражного апелляционного суда от 03.09.2019 и постановлением Арбитражного суда Волго-Вятского округа от 13.12.2019, в удовлетворении заявленного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 на основании заявлений ИП ФИО1 внесло изменения в расписание отправления транспортных средств по установленным для предпринимателя маршрутам. Полагая, что изменение расписания ИП ФИО1 ставит его в заведомо выгодное положение ввиду отправления транспортных средств с промежутком на 10 минут раньше транспортных средств ИП ФИО2, последний обратился в антимонопольный орган. В ходе проверки обращения антимонопольный орган установил наличие в действиях министерства признаков нарушения части 1 статьи 15 Федерального закона от 26.07.2006 № 135-ФЗ «О защите конкуренции» (далее – Закон о защите конкуренции), что выразилось в ограничении прав ИП ФИО2 и конкуренции на рынке регулярных пассажирских перевозок по межмуниципальным маршрутам регулярных перевозок. В целях устранения нарушений выдано предупреждение, которое оспорено министерством и ИП ФИО1 в арбитражный суд. Оценив представленные в материалы дела доказательства, суды, руководствуясь положениями статей 4, 15, 39.1 Закона о защите конкуренции, статьи 7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приказа Минтранса России от 24.01.2018 № 27 «Об установлении значений минимальной разницы в расписаниях между временем отправления транспортных средств, предусмотренных частью 1 статьи 7 Федерального закона от 13 июля 2015 г. № 220-ФЗ», Законом Республики Марий Эл от 23.05.2017 № 26-З, Правилами организации регулярных перевозок пассажиров и багажа по межмуниципальным маршрутам регулярных перевозок на территории Республики Марий Эл, утвержденными постановлением Правительства Республики Марий Эл от 31.12.2015 № 748, пришли к выводу о наличии у управления правовых оснований для вынесения предупреждения ввиду доказанности в действиях министерства признаков нарушения антимонопольного законодательства, влекущих ограничение конкуренции на рынке регулярных пассажирских перевозок по межмуниципальным маршрутам. Судебные инстанции исходили из того, что министерство ограничилось формальным рассмотрением заявлений ИП Колина С.В., не анализировало причины изменения расписания, пассажиропоток, совпадение с другими, ранее установленными маршрутами, наличие общих остановочных пунктов. Вместе с тем произвольное изменение расписания маршрутов регулярных перевозок привело к преимущественному положению ИП ФИО1 и ущемлению прав ИП ФИО2, осуществляющих рейсы в одном направлении по частично совпадающим маршрутам. Доводы, изложенные в кассационной жалобе, в том числе о неисполнимости предписания, являлись предметом рассмотрения судов, не опровергают их выводы, сделанные с учетом установленных обстоятельств дела, и не свидетельствуют о существенном нарушении судами норм материального и процессуального права. По существу доводы жалобы выражают несогласие с выводами судов по фактическим обстоятельствам дела и основаны на ином применении к ним положений законодательства, в связи с чем не могут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