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Иркутской области от 09.07.2019, оставленным без изменения постановлением Четвертого арбитражного апелляционного суда от 03.09.2019, иск удовлетворен. Постановлением Арбитражного суда Восточно-Сибирского округа от 18.11.2019 решение суда первой инстанции и постановление суда апелляционной инстанции отменены, дело направлено на новое рассмотрение в Арбитражный суд Красноярского края.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судебные акты судов первой и апелляционной инстанций.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указал на неполное исследование судами обстоятельств, имеющих существенное значение для правильного разрешения спора. Доводы кассационной жалобы не свидетельствуют о существенном нарушении судом норм права при принятии обжалуемого судебного акта, в связи с чем основания для передачи жалобы для рассмотрения в судебном заседании отсутствуют.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Жилищный трест г. Братска»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