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суд с иском к арбитражному управляющему ФИО2 о взыскании с него 2 278 249 рублей 36 копеек убытков. Решением Арбитражного суда Воронежской области от 06.03.2019, оставленным без изменения постановлениями Девятнадцатого арбитражного апелляционного суда от 11.06.2019 и Арбитражного суда Центрального округа от 14.11.2019, отказано в удовлетворении требований. В кассационной жалобе, поданной в Верховный Суд Российской Федерации, заявитель просит отменить указанные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Признавая необоснованность требований,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20.4 Федерального закона от 26.10.2002 № 127-ФЗ «О несостоятельности (банкротстве)», исходили из недоказанности причинно-следственной связи между действиями Чайчица К.К. и убытками на стороне Подшивалова С.Ю. Выводы судов соответствуют нормам права, оснований для переоценки этих выводов не имеется. Нарушений норм процессуального права, влекущих за собой отмену судебных актов, судами не допущено. Доводы заявителя были предметом рассмотрения судов и получили надлежащую оценку, отклонены как несостоятельные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