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«Грузовая транспортная компания «Гусар» обратилось в Арбитражный суд Челябинской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«Мечел-Транс Авто» 84 795 рублей неустойки за нарушение срока оплаты услуг по договору от 24.06.2018 № Р-64/18. Решением Арбитражного суда Челябинской области от 25.06.2019 иск удовлетворен в части взыскания 19 686 рублей неустойки, в удовлетворении иска в остальной части отказано. Постановлением Восемнадцатого арбитражного апелляционного суда от 03.09.2019 решение суда первой инстанции оставлено без изменения. Арбитражный суд Уральского округа постановлением от 29.11.2019 указанные судебные акты оставил без изменения. Общество с ограниченной ответственностью Грузовая транспортная компания «Гусар»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квалифицировав возникшие между сторонами правоотношения как правоотношения по перевозке, признав доказанным нарушение ответчиком сроков оплаты оказанных услуг, руководствуясь положениями статей 309 , 310 , 329 , 330 , 785 , 790 Гражданского кодекса Российской Федерации, суды пришли к выводу об обоснованности взыскания договорной неустойки. Доводы жалобы о применении положений Федерального закона от 30.06.2003 № 87-ФЗ «О транспортно-экспедиционной деятельности» были рассмотрены судами и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«Грузовая транспортная компания «Гусар»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