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 «Беркшир Адвайзори групп» (далее – Общество) обратилось в Арбитражный суд города Москвы с иском к ФИО1 о взыскании 4 300 000 рублей убытков. Решением Арбитражного суда города Москвы от 06.06.2019, оставленным без изменения постановлением Девятого арбитражного апелляционного суда от 01.10.2019 и постановлением Арбитражного суда Московского округа от 11.12.2019,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настаивает, что судебные акты приняты о правах и обязанностях лица, не привлеченного к участию в деле. По мнению ФИО1, суды пришли к необоснованному выводу о необходимости одобрения договора от 30.08.2018 со стороны участников юридического лица и о причинении спорной сделкой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02.06.2011 по 30.11.2018 ФИО1 являлась единоличным исполнительным органом Общества. В обоснование требований истец указывал, что исполняя функции директора, ФИО1 совершила сделку по отчуждению серверного модуля в ущерб интересам Общества, а после заключения договора целенаправленно скрывала от участников юридического лица соответствующую информацию.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установив уклонение ответчика от предоставления сведений участникам Общества, содержащих информацию о финансово-хозяйственной деятельности юридического лица, отсутствие согласования продажи модуля и экономической целесообразности совершения сделки по заниженной цене (2 500 000 рублей), учитывая, что балансовая стоимость модуля составляла 6 800 000 рублей.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ФИО1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решения Арбитражного суда города Москвы от 06.06.2019 по делу № А40-55222/2019 отказать. 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