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30.04.2019, оставленным без изменения постановлением Девятого арбитражного апелляционного суда от 18.07.2019 и постановлением Арбитражного суда Московского округа от 07.11.2019, в удовлетворении исковых требований отказано.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в Арбитражный суд города Москвы.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для пересмотра обжалуемых судебных актов в кассационном порядке по доводам, изложенным заявителем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статьями 15 , 309 , 310 , 715 , 717 , 721 , 722 , 723 , 740 , 753 , 754 , 1102 Гражданского кодекса Российской Федерации, суды первой и апелляционной инстанций пришли к выводу об отсутствии оснований для удовлетворения исковых требований, с чем впоследствии согласился суд округа. В частности, суды исходили из того, что на момент отказа общества от исполнения договора субподряда компания выполнила работы на сумму перечисленного ей аванса, а факт наличия убытков по вине последней истцом не доказан. Доводы кассационной жалобы не опровергают выводы судов, не подтверждают существенных нарушений норм материального и процессуального права, повлиявших на исход дела, и по существу направлены на переоценку фактических обстоятельств данного дела, что не входит в компетенцию Судебной коллегии по экономическим спорам Верховного Суда Российской Федерации.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«СиАрСиСи Рус»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Судьи дела: Чучунова Н.С. (судья) (подробнее) Судебная практика по: Упущенная выгода Судебная практика по применению норм ст. 15, 393 ГК РФ Неосновательное обогащение, взыскание неосновательного обогащения Судебная практика по применению нормы ст. 1102 ГК РФ Возмещение убытков Судебная практика по применению нормы ст. 15 ГК РФ По строительному подряду Судебная практика по применению нормы ст. 740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