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«Агротрейд» (далее – общество) обратилось в Арбитражный суд Республики Татарстан с заявлением о признании незаконным решения Управления Федеральной налоговой службы по Республике Татарстан (далее – управление) от 21.08.2017, об обязании Межрайонной инспекции Федеральной налоговой службы России № 18 по Республике Татарстан принять решение о внесении в Единый государственный реестр юридических лиц записи о признании записи от 24.08.2017 за ГРН 6171690585643 недействительной. К участию в деле в качестве третьего лица, не заявляющего самостоятельных требований относительно предмета спора, привлечена Межрайонная инспекция Федеральной налоговой службы России № 14 по Республике Татарстан. Решением Арбитражного суда Республики Татарстан от 06.03.2018, оставленным без изменений постановлением Одиннадцатого арбитражного апелляционного суда от 05.06.2018 и постановлением Арбитражного суда Поволжского округа от 22.08.2018, признано незаконным решение управления от 21.08.2017, в удовлетворении остальной части заявленных требований отказано. Общество обратилось в Арбитражный суд Республики Татарстан с заявлением о взыскании с управления 185 000 руб. судебных издержек на оплату услуг представителя. Арбитражный суд Республики Татарстан определением от 16.04.2019 взыскал с управления в пользу общества 42 000 руб. судебных расходов, в удовлетворении остальной части требований отказал. Постановлением Одиннадцатого арбитражного апелляционного суда от 06.08.2019 определение суда первой инстанции отменено, в удовлетворении заявления отказано. Арбитражный суд Поволжского округа постановлением от 28.10.2019 оставил без изменения постановление суда апелляционной инстанции.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взыскать с в его пользу судебные издержки в сумме 97 000 руб.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статьей 41 названного Кодекса, статьей 10 Гражданского кодекса Российской Федерации, суд апелляционной инстанции, с которым согласился суд округа, пришел к выводу об отсутствии оснований для удовлетворения заявления общества о взыскании судебных расходов на оплату услуг представителя, в том числе в связи с недоказанностью заявителем фактического несения им этих расходов. Также суд отметил, что подача заявления о взыскании судебных расходов имела не добросовестную цель возмещения реально понесенных расходов, а направлена на незаконное получение денежных средств из бюджета. Доводы кассационной жалобы не опровергают выводы судов, не подтверждают существенных нарушений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