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16.04.2019, оставленным без изменения постановлением Девятого арбитражного апелляционного суда от 05.08.2019 и постановлением Арбитражного суда Московского округа от 19.11.2019, иск удовлетворен. В кассационной жалобе, поданной в Верховный Суд Российской Федерации, комитет, ссылаясь на нарушение судами норм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статей 15 , 1069 , 1071 Гражданского кодекса Российской Федерации, разъяснениями, приведенными в пункте 26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 первой инстанции, с которым согласились суды апелляционной инстанции и округа, пришел к выводу о наличии оснований для удовлетворения иска, исходя из доказанности обществом совокупности условий, необходимых для взыскания с комитета убытков.Доводы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государственного строительного надзора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