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31.05.2019, оставленным без изменения постановлением Девятого арбитражного апелляционного суда от 23.07.2019, иск удовлетворен. Арбитражный суд Московского округа постановлением от 21.11.2019 решение от 31.05.2019 и постановление Девятого арбитражного апелляционного суда от 23.07.2019 оставил без изменения. В кассационной жалобе банк просит об отмене судебных актов, ссылаясь на несоответствие предъявленного требования условиям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о платеже по банковской гарантии от 11.09.2018 № 160773 предъявлено в пределах срока действия гарантии и с приложением необходимых по условиям гарантии документов, в том числе содержащегося в тексте требования о платеже расчета суммы, что правомерно оценено судами как не позволявшее банку в силу статей 375 , 376 Гражданского кодекса Российской Федерации отказать в совершении платежа.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