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Алексин</w:t>
      </w:r>
    </w:p>
    <w:p>
      <w:pPr>
        <w:spacing w:after="200"/>
        <w:jc w:val="center"/>
      </w:pPr>
      <w:r>
        <w:rPr>
          <w:rFonts w:ascii="Times New Roman" w:hAnsi="Times New Roman" w:eastAsia="Times New Roman" w:cs="Times New Roman"/>
          <w:b w:val="0"/>
          <w:i w:val="0"/>
          <w:sz w:val="22"/>
        </w:rPr>
        <w:t>13 марта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13 марта 2020 г. по делу № А68-2526/2019 Верховный Суд Российской Федерации - Экономическое ВЕРХОВНЫЙ СУДРОССИЙСКОЙ ФЕДЕРАЦИИ № 310-ЭС20-1569 ОПРЕДЕЛЕНИЕ г. Москва13 марта 2020 г. Судья Верховного Суда Российской Федерации Зарубина Е.Н., изучив по материалам, приложенным к кассационной жалобе, кассационную жалобу ответчика – администрации муниципального образования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«МонолитРесурс» обратилось в Арбитражный суд Тульской области с иском о взыскании с администрации муниципального образования город Алексин 93 873 рублей 60 копеек, в том числе 49 200 рублей задолженности по договору поставки от 13.09.2017 и 44 673 рублей 60 копеек неустойки. Решением Арбитражного суда Тульской области от 26.06.2019 иск удовлетворен в части взыскания 59 200 рублей, в том числе 49 200 рублей задолженности и 10 000 рублей неустойки, в удовлетворении иска в остальной части отказано. Постановлением Двадцатого арбитражного апелляционного суда от 13.08.2019 решение суда первой инстанции оставлено без изменения. Арбитражный суд Центрального округа постановлением от 21.11.2019 указанные судебные акты оставил без изменения. Администрация муниципального образования город Алексин обратилась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поставка товара была продиктована необходимостью производства ремонтных работ срочного характера, со стороны покупателя не имелось претензий относительно объема и качества поставленного бетона, поставка носила разовый характер на основании договора, заключенного в письменной форме, действия продавца носили характер добросовестных, суды сделали вывод о наличии оснований для оплаты поставленного товара.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судом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муниципального образования город Алексин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