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Арбитражного суда Ростовской области от 29.05.2019, оставленным без изменения постановлением Пятнадцатого арбитражного апелляционного суда от 20.09.2019 и постановлением Северо-Кавказского округа от 06.12.2019, в удовлетворении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суда от 07.11.2017 по делу № А53-25422/2015 ООО «РостовДорСтрой» (далее - должник) признано несостоятельным (банкротом), в отношении него введено конкурсное производство. На электронной площадке опубликовано объявление о проведении торгов по продаже имущества должника - установки асфальто-смесительной КДМ 20137, победителем признано ООО «Лизинговая компания «Развитие», с которым заключен договор купли-продажи от 15.10.2018. В антимонопольный орган 17.10.2018 поступила жалоба общества на неправомерные действия организатора, допущенные при проведении торгов по продаже имущества должника посредством публичного предложения. По результатам рассмотрения жалобы управлением вынесено решение о признании жалобы общества необоснованной. Не согласившись с решением управления, общество обратилось в арбитражный суд. Оценив представленные в материалы дела доказательства, суды первой и апелляционной инстанций, руководствуясь положениями Федерального закона от 26.07.2006 № 135-ФЗ «О защите конкуренции», статей 110, 139 Федерального закона от 26.10.2002 № 127-ФЗ «О несостоятельности (банкротстве)», статьи 447 Гражданского кодекса Российской Федерации, пришли к выводу о том, что оспариваемый акт управления соответствует положениям законодательства и не нарушает прав и законных интересов заявителя, с чем согласился суд округа. Судебные инстанции указали, что спорная установка является мобильным перемещаемым оборудованием и факт заключения между должником и ООО «Тацинское ДСУ» договора аренды от 03.09.2018 не влияет на права участников торгов, поскольку условиями договора установлено, что в случае определения победителя торгов на ООО «Тацинское ДСУ» возлагается обязанность по демонтажу указанной установки и передаче ее победителю торгов в разобранном состоянии. Суды также отметили, что наличие опечатки в описании предмета торгов не способно ввести в заблуждение в отношении предмета торгов и не оказало влияния на результаты торгов. Вопреки доводам жалобы судами рассмотрены и отклонены доводы заявителя о наличии процессуальных нарушений при проведении торгов. Иные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«Дорожно-ремонтное строительное управление»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