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01.04.2019, оставленным без изменения постановлением Первого арбитражного апелляционного суда от 08.07.2019 и постановлением Арбитражного суда Волго-Вятского округа от 14.11.2019, в удовлетворении иска отказано за недоказанностью. В кассационной жалобе предприниматель просит об отмене судебных актов как незаконных, ссылаясь на ненадлежащую оценку доказательств и подтвержденность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на оказание транспортных услуг от 17.07.2017 № 6 и применив к ним статьи 779 , 781 Гражданского кодекса Российской Федерации, суды признали недоказанность фактического оказания предпринимателем (исполнителем) услуг. Доводы кассационной жалобы подтверждают отсутствие документального оформления оказания услуг.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