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Костромской области от 04.03.2019, оставленным без изменения постановлением Второго арбитражного апелляционного суда от 17.06.2019, в удовлетворении иска отказано. Арбитражный суд Волго-Вятского округа постановлением от 29.10.2019 решение от 04.03.2019 и постановление Второго арбитражного апелляционного суда от 17.06.2019 оставил без изменения. В кассационной жалобе предприниматель просит об отмене судебных актов как незаконных вследствие ненадлежащего исследования обстоятельств, составляющих условия для взыскания упущенной выгоды, и неосновательного исчисления срока исковой давности.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Оценка обстоятельств, составляющих в силу статей 15 , 1064 Гражданского кодекса Российской Федерации условия для взыскания убытков, находится в компетенции судов, рассматривающих дело по правилам для первой инстанции, и не подлежит пересмотру на стадии кассационного производства. По общему правилу срок исковой давности составляет три года и начинает течь со дня, когда лицо узнало или должно было узнать о нарушении своего права и о том, кто является надлежащим ответчиком по иску о защите этого права (статья 196 , пункт 1 статьи 200 Гражданского кодекса Российской Федерации). Констатация предъявления 19.10.2017 настоящего иска в отношении убытков, являющихся следствием произошедшего 11.09.2013 события, причины которого отражены в протоколе осмотра от 11.09.2013 и справке от 26.11.2013, за пределами трехлетнего срока исковой давности соответствует закону.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Судьи дела: Ксенофонтова Н.А.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