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Приморского края с иском о взыскании с общества с ограниченной ответственностью «Транзит» 423 530 рублей штрафа за искажение сведений о наименовании, характере груза в железнодорожной транспортной накладной № ЭС841009, в результате которого фактически предъявленный к перевозке груз незаконно принят к перевозке без обязательного сменного сопровождения охраны в пути следования. Решением Арбитражного суда Приморского края от 23.07.2019 иск удовлетворен. Постановлением Пятого арбитражного апелляционного суда от 23.09.2019 решение суда первой инстанции оставлено без изменения. Арбитражный суд Дальневосточного округа постановлением от 10.12.2019 указанные судебные акты оставил без изменения. Общество с ограниченной ответственностью «Транзит»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при отправлении груза в транспортной железнодорожной накладной недостоверно указал сведения о наименовании груза, не заявил об охране груза при перевозке, что является нарушением требований по безопасности эксплуатации железнодорожного транспорта, руководствуясь статьями 784 , 785 , 793 Гражданского кодекса Российской Федерации, статьей 98 Федерального закона от 10.01.2003 № 18-ФЗ «Устав железнодорожного транспорта Российской Федерации», суды пришли к выводу об отсутствии оснований для освобождения ответчика от уплаты штрафа.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«Транзит»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