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12.03.2018, оставленным без изменения постановлением Девятого арбитражного апелляционного суда от 08.08.2019, в удовлетворении иска отказано. Арбитражный суд Московского округа постановлением от 14.11.2019 решение от 12.03.2018 и постановление Девятого арбитражного апелляционного суда от 08.08.2019 оставил без изменения. В кассационной жалобе компания просит об отмене судебных актов, ссылаясь на ненадлежащее исследование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представленных доказательств, касающихся расчетов сторон по договору и включающих платежные поручения, акт сверки, и заключение судебной экспертизы, признали недоказанным наличие спорной задолженности.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