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20.06.2019, оставленным без изменения постановлением Семнадцатого арбитражного апелляционного суда от 18.09.2019 и постановлением Арбитражного суда Уральского округа от 04.12.2019, заявление общества «Траст Капитал» о взыскании 98 574 рублей 63 копеек судебных расходов удовлетворено на сумму 12 269 рублей 93 копеек. В кассационной жалобе общество «Траст Капитал» просит об отмене судебных актов вследствие неосновательного уменьшения расходов.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Рассматривая заявление о судебных расходах, суды руководствовались постановлением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статьями 101 , 106 , 110 Арбитражного процессуального кодекса Российской Федерации и обстоятельствами рассмотрения дела. Суды проверили соответствие заявленных судебных расходов критериям разумности и обоснованности, определенным законом и судебной практикой, и установили разумную и обоснованную сумму затрат, понесенных истцом в связи с рассмотрением дела, во взысканном размере. Доводы жалобы сводятся к иной оценке обстоятельств несения расходов, не создающей обозначенных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«Траст Капитал»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