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22.02.2019, оставленным без изменения постановлением Тринадцатого арбитражного апелляционного суда от 07.08.2019 и постановлением Арбитражного суда Северо-Западного округа от 06.11.2019, иск удовлетворен. В кассационной жалобе общество «Стройпанель» просит о пересмотре судебных актов как не соответствующих доказательствам и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обстоятельства спора и представленные доказательства, суды установили, что покупателем (истцом) соблюдены условия договора от 02.04.2018 № 1786 в отношении приемки товара, фиксации обнаруженных недостатков и уведомления о них поставщика (ответчика) и отсутствие его реагирования. В такой ситуации суды удовлетворили иск в соответствии со статьями 330 , 395 , 469 , 475 , 476 , 506 , 518 , 523 Гражданского кодекса Российской Федерации. Довод заявителя относительно неправомерного отказа судов в назначении экспертизы неоснователен, поскольку согласно статьям 82 , 87 Арбитражного процессуального кодекса Российской Федерации назначение экспертизы является правом суда, отклонившего ходатайство ответчика в связи с отсутствием соответствующего материала для экспертизы.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«Стройпанель»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