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31.07.2019, оставленным без изменения постановлением Восемнадцатого арбитражного апелляционного суда от 17.10.2019, отклонено ходатайство гражданки ФИО1 о восстановлении срока для подачи заявления о взыскании судебных расходов. Арбитражный суд Уральского округа постановлением от 05.12.2019 определение от 31.07.2019 и постановление Восемнадцатого арбитражного апелляционного суда от 17.10.2019 оставил без изменения. В кассационной жалобе ФИО1 просит об отмене судебных актов, ссылаясь на несение расходов истцом и подачу заявления по получении необходимых документов.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Оценка в связи с заявленным ходатайством причины пропуска срока на подачу заявлении о судебных расходах отнесена к компетенции суда, которому обращено ходатайство, и не подлежит пересмотру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