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02.04.2019, оставленным без изменения постановлением Тринадцатого арбитражного апелляционного суда от 12.08.2019 и постановлением Арбитражного суда Северо-Западного округа от 15.11.2019, в удовлетворении иска отказано. В кассационной жалобе общество «Атомстройкомплекс» просит об отмене судебных актов, ссылаясь на неосновательное предпочтение представленного ответчиком экспертного заключения.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выводы судебной экспертизы подтвердили выводы представленного ответчиком заключения завода-изготовителя об эксплуатационном характере дефектов, поэтому, руководствуясь статьями 15 , 393 , 469 , 506 , 518 Гражданского кодекса Российской Федерации, отказали в иске. Вопросы доказывания и оценки доказательств, положенные в основу жалобы,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«Атомстройкомплекс»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