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26.04.2019, оставленным без изменения постановлением Восьмого арбитражного апелляционного суда от 24.07.2019, взыскано 3 228 800 рублей страхового возмещения, 5 500 рублей расходов на экспертизу и 40 000 рублей расходов на юридические услуги. Арбитражный суд Западно-Сибирского округа постановлением от 21.11.2019 решение от 26.04.2019 и постановление Восьмого арбитражного апелляционного суда от 24.07.2019 оставил без изменения. В кассационной жалобе общество «АльфаСтрахование» просит об отмене судебных актов, ссылаясь на неверное толкование условий договора страхования и ненаступление предусмотренного им страхового случая.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наступление страхового случая, отвечающего критериям, согласованным в договоре страхования средств наземного транспорта № 58917/046/3969935/7, размер убытков и отсутствие основания для освобождения страховщика от выплаты страхового возмещения, поэтому, удовлетворили иск в соответствии со статьями 431 , 942 , 943 , 963 Гражданского кодекса Российской Федерации. Заложенное в доводах жалобы, основанных на ином толковании условий страхования и иной оценке обстоятельств спора, оспаривание выводов судов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«АльфаСтрахование»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